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2">
      <w:pPr>
        <w:jc w:val="center"/>
        <w:rPr>
          <w:rFonts w:ascii="Garamond" w:cs="Garamond" w:eastAsia="Garamond" w:hAnsi="Garamond"/>
          <w:b w:val="1"/>
          <w:sz w:val="18"/>
          <w:szCs w:val="18"/>
          <w:u w:val="single"/>
        </w:rPr>
      </w:pPr>
      <w:r w:rsidDel="00000000" w:rsidR="00000000" w:rsidRPr="00000000">
        <w:rPr>
          <w:rtl w:val="0"/>
        </w:rPr>
      </w:r>
    </w:p>
    <w:p w:rsidR="00000000" w:rsidDel="00000000" w:rsidP="00000000" w:rsidRDefault="00000000" w:rsidRPr="00000000" w14:paraId="00000003">
      <w:pPr>
        <w:spacing w:after="0" w:line="240" w:lineRule="auto"/>
        <w:ind w:left="274" w:firstLine="0"/>
        <w:rPr>
          <w:rFonts w:ascii="Garamond" w:cs="Garamond" w:eastAsia="Garamond" w:hAnsi="Garamond"/>
          <w:b w:val="1"/>
          <w:color w:val="005eb8"/>
          <w:sz w:val="36"/>
          <w:szCs w:val="36"/>
        </w:rPr>
      </w:pPr>
      <w:r w:rsidDel="00000000" w:rsidR="00000000" w:rsidRPr="00000000">
        <w:rPr>
          <w:rFonts w:ascii="Garamond" w:cs="Garamond" w:eastAsia="Garamond" w:hAnsi="Garamond"/>
          <w:b w:val="1"/>
          <w:color w:val="005eb8"/>
          <w:sz w:val="36"/>
          <w:szCs w:val="36"/>
          <w:rtl w:val="0"/>
        </w:rPr>
        <w:t xml:space="preserve">Procedures for a Research Ramp-Down</w:t>
      </w:r>
    </w:p>
    <w:p w:rsidR="00000000" w:rsidDel="00000000" w:rsidP="00000000" w:rsidRDefault="00000000" w:rsidRPr="00000000" w14:paraId="00000004">
      <w:pPr>
        <w:ind w:left="270" w:firstLine="0"/>
        <w:rPr>
          <w:rFonts w:ascii="Garamond" w:cs="Garamond" w:eastAsia="Garamond" w:hAnsi="Garamond"/>
          <w:color w:val="005eb8"/>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6003925" cy="25400"/>
                <wp:effectExtent b="0" l="0" r="0" t="0"/>
                <wp:wrapNone/>
                <wp:docPr id="15" name=""/>
                <a:graphic>
                  <a:graphicData uri="http://schemas.microsoft.com/office/word/2010/wordprocessingShape">
                    <wps:wsp>
                      <wps:cNvCnPr/>
                      <wps:spPr>
                        <a:xfrm>
                          <a:off x="2350388" y="3780000"/>
                          <a:ext cx="5991225" cy="0"/>
                        </a:xfrm>
                        <a:prstGeom prst="straightConnector1">
                          <a:avLst/>
                        </a:prstGeom>
                        <a:noFill/>
                        <a:ln cap="flat" cmpd="sng" w="12700">
                          <a:solidFill>
                            <a:srgbClr val="FFC21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76200</wp:posOffset>
                </wp:positionV>
                <wp:extent cx="6003925" cy="25400"/>
                <wp:effectExtent b="0" l="0" r="0" t="0"/>
                <wp:wrapNone/>
                <wp:docPr id="15"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003925"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203200</wp:posOffset>
                </wp:positionV>
                <wp:extent cx="2320290" cy="1754505"/>
                <wp:effectExtent b="0" l="0" r="0" t="0"/>
                <wp:wrapSquare wrapText="bothSides" distB="0" distT="0" distL="114300" distR="114300"/>
                <wp:docPr id="17" name=""/>
                <a:graphic>
                  <a:graphicData uri="http://schemas.microsoft.com/office/word/2010/wordprocessingShape">
                    <wps:wsp>
                      <wps:cNvSpPr/>
                      <wps:cNvPr id="4" name="Shape 4"/>
                      <wps:spPr>
                        <a:xfrm>
                          <a:off x="4190618" y="2907510"/>
                          <a:ext cx="2310765" cy="174498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1"/>
                                <w:i w:val="0"/>
                                <w:smallCaps w:val="0"/>
                                <w:strike w:val="0"/>
                                <w:color w:val="005eb8"/>
                                <w:sz w:val="28"/>
                                <w:vertAlign w:val="baseline"/>
                              </w:rPr>
                              <w:t xml:space="preserve">CONTACT INFO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1"/>
                                <w:i w:val="0"/>
                                <w:smallCaps w:val="0"/>
                                <w:strike w:val="0"/>
                                <w:color w:val="005eb8"/>
                                <w:sz w:val="28"/>
                                <w:vertAlign w:val="baseline"/>
                              </w:rPr>
                            </w:r>
                            <w:r w:rsidDel="00000000" w:rsidR="00000000" w:rsidRPr="00000000">
                              <w:rPr>
                                <w:rFonts w:ascii="Gill Sans" w:cs="Gill Sans" w:eastAsia="Gill Sans" w:hAnsi="Gill Sans"/>
                                <w:b w:val="0"/>
                                <w:i w:val="0"/>
                                <w:smallCaps w:val="0"/>
                                <w:strike w:val="0"/>
                                <w:color w:val="000000"/>
                                <w:sz w:val="20"/>
                                <w:vertAlign w:val="baseline"/>
                              </w:rPr>
                              <w:t xml:space="preserve">DR. KAREN FROUD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r w:rsidDel="00000000" w:rsidR="00000000" w:rsidRPr="00000000">
                              <w:rPr>
                                <w:rFonts w:ascii="Gill Sans" w:cs="Gill Sans" w:eastAsia="Gill Sans" w:hAnsi="Gill Sans"/>
                                <w:b w:val="0"/>
                                <w:i w:val="0"/>
                                <w:smallCaps w:val="0"/>
                                <w:strike w:val="0"/>
                                <w:color w:val="000000"/>
                                <w:sz w:val="20"/>
                                <w:vertAlign w:val="baseline"/>
                              </w:rPr>
                              <w:t xml:space="preserve">Committee Co-Chair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r w:rsidDel="00000000" w:rsidR="00000000" w:rsidRPr="00000000">
                              <w:rPr>
                                <w:rFonts w:ascii="Gill Sans" w:cs="Gill Sans" w:eastAsia="Gill Sans" w:hAnsi="Gill Sans"/>
                                <w:b w:val="0"/>
                                <w:i w:val="0"/>
                                <w:smallCaps w:val="0"/>
                                <w:strike w:val="0"/>
                                <w:color w:val="000000"/>
                                <w:sz w:val="20"/>
                                <w:vertAlign w:val="baseline"/>
                              </w:rPr>
                              <w:t xml:space="preserve">DR. MYRA LUNA LUCERO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r w:rsidDel="00000000" w:rsidR="00000000" w:rsidRPr="00000000">
                              <w:rPr>
                                <w:rFonts w:ascii="Gill Sans" w:cs="Gill Sans" w:eastAsia="Gill Sans" w:hAnsi="Gill Sans"/>
                                <w:b w:val="0"/>
                                <w:i w:val="0"/>
                                <w:smallCaps w:val="0"/>
                                <w:strike w:val="0"/>
                                <w:color w:val="000000"/>
                                <w:sz w:val="20"/>
                                <w:vertAlign w:val="baseline"/>
                              </w:rPr>
                              <w:t xml:space="preserve">Committee Co-Chair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ill Sans" w:cs="Gill Sans" w:eastAsia="Gill Sans" w:hAnsi="Gill Sans"/>
                                <w:b w:val="0"/>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vertAlign w:val="baseline"/>
                              </w:rPr>
                              <w:t xml:space="preserve">(e): IRB@tc.edu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Georgia" w:cs="Georgia" w:eastAsia="Georgia" w:hAnsi="Georgia"/>
                                <w:b w:val="0"/>
                                <w:i w:val="0"/>
                                <w:smallCaps w:val="0"/>
                                <w:strike w:val="0"/>
                                <w:color w:val="000000"/>
                                <w:sz w:val="20"/>
                                <w:vertAlign w:val="baseline"/>
                              </w:rPr>
                            </w:r>
                            <w:r w:rsidDel="00000000" w:rsidR="00000000" w:rsidRPr="00000000">
                              <w:rPr>
                                <w:rFonts w:ascii="Georgia" w:cs="Georgia" w:eastAsia="Georgia" w:hAnsi="Georgia"/>
                                <w:b w:val="0"/>
                                <w:i w:val="0"/>
                                <w:smallCaps w:val="0"/>
                                <w:strike w:val="0"/>
                                <w:color w:val="000000"/>
                                <w:sz w:val="20"/>
                                <w:vertAlign w:val="baseline"/>
                              </w:rPr>
                              <w:t xml:space="preserve">(p): 212-678-4105</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203200</wp:posOffset>
                </wp:positionV>
                <wp:extent cx="2320290" cy="1754505"/>
                <wp:effectExtent b="0" l="0" r="0" t="0"/>
                <wp:wrapSquare wrapText="bothSides" distB="0" distT="0" distL="114300" distR="114300"/>
                <wp:docPr id="1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2320290" cy="1754505"/>
                        </a:xfrm>
                        <a:prstGeom prst="rect"/>
                        <a:ln/>
                      </pic:spPr>
                    </pic:pic>
                  </a:graphicData>
                </a:graphic>
              </wp:anchor>
            </w:drawing>
          </mc:Fallback>
        </mc:AlternateContent>
      </w:r>
    </w:p>
    <w:p w:rsidR="00000000" w:rsidDel="00000000" w:rsidP="00000000" w:rsidRDefault="00000000" w:rsidRPr="00000000" w14:paraId="00000005">
      <w:pPr>
        <w:ind w:left="270" w:firstLine="0"/>
        <w:rPr>
          <w:rFonts w:ascii="Garamond" w:cs="Garamond" w:eastAsia="Garamond" w:hAnsi="Garamond"/>
          <w:b w:val="1"/>
          <w:color w:val="005eb8"/>
          <w:sz w:val="24"/>
          <w:szCs w:val="24"/>
        </w:rPr>
      </w:pPr>
      <w:hyperlink r:id="rId9">
        <w:r w:rsidDel="00000000" w:rsidR="00000000" w:rsidRPr="00000000">
          <w:rPr>
            <w:rFonts w:ascii="Garamond" w:cs="Garamond" w:eastAsia="Garamond" w:hAnsi="Garamond"/>
            <w:b w:val="1"/>
            <w:color w:val="0563c1"/>
            <w:sz w:val="24"/>
            <w:szCs w:val="24"/>
            <w:u w:val="single"/>
            <w:rtl w:val="0"/>
          </w:rPr>
          <w:t xml:space="preserve">RESEARCH COMPLIANCE &amp; SAFETY COMMITTEE</w:t>
        </w:r>
      </w:hyperlink>
      <w:r w:rsidDel="00000000" w:rsidR="00000000" w:rsidRPr="00000000">
        <w:rPr>
          <w:rFonts w:ascii="Garamond" w:cs="Garamond" w:eastAsia="Garamond" w:hAnsi="Garamond"/>
          <w:b w:val="1"/>
          <w:color w:val="005eb8"/>
          <w:sz w:val="24"/>
          <w:szCs w:val="24"/>
          <w:rtl w:val="0"/>
        </w:rPr>
        <w:t xml:space="preserve"> </w:t>
      </w:r>
    </w:p>
    <w:p w:rsidR="00000000" w:rsidDel="00000000" w:rsidP="00000000" w:rsidRDefault="00000000" w:rsidRPr="00000000" w14:paraId="00000006">
      <w:pPr>
        <w:ind w:left="27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goal of this committee is to harness content-specific expertise and establish a plan for in-person research ramp-up at Teachers College with different phases that permit occupancy to be scaled depending on the scenario, personnel, and study site. Each phase should be adaptable as appropriate for the circumstances pertaining to specific research groups and risk levels.</w:t>
      </w:r>
    </w:p>
    <w:p w:rsidR="00000000" w:rsidDel="00000000" w:rsidP="00000000" w:rsidRDefault="00000000" w:rsidRPr="00000000" w14:paraId="00000007">
      <w:pPr>
        <w:tabs>
          <w:tab w:val="left" w:pos="7000"/>
        </w:tabs>
        <w:ind w:left="270" w:firstLine="0"/>
        <w:rPr>
          <w:rFonts w:ascii="Garamond" w:cs="Garamond" w:eastAsia="Garamond" w:hAnsi="Garamond"/>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918200" cy="25400"/>
                <wp:effectExtent b="0" l="0" r="0" t="0"/>
                <wp:wrapNone/>
                <wp:docPr id="16" name=""/>
                <a:graphic>
                  <a:graphicData uri="http://schemas.microsoft.com/office/word/2010/wordprocessingShape">
                    <wps:wsp>
                      <wps:cNvCnPr/>
                      <wps:spPr>
                        <a:xfrm>
                          <a:off x="2393250" y="3780000"/>
                          <a:ext cx="5905500" cy="0"/>
                        </a:xfrm>
                        <a:prstGeom prst="straightConnector1">
                          <a:avLst/>
                        </a:prstGeom>
                        <a:noFill/>
                        <a:ln cap="flat" cmpd="sng" w="12700">
                          <a:solidFill>
                            <a:srgbClr val="FFC21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88900</wp:posOffset>
                </wp:positionV>
                <wp:extent cx="5918200" cy="25400"/>
                <wp:effectExtent b="0" l="0" r="0" t="0"/>
                <wp:wrapNone/>
                <wp:docPr id="1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918200" cy="25400"/>
                        </a:xfrm>
                        <a:prstGeom prst="rect"/>
                        <a:ln/>
                      </pic:spPr>
                    </pic:pic>
                  </a:graphicData>
                </a:graphic>
              </wp:anchor>
            </w:drawing>
          </mc:Fallback>
        </mc:AlternateContent>
      </w:r>
    </w:p>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after="0" w:before="9" w:line="240" w:lineRule="auto"/>
        <w:ind w:left="27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The suspension of all research activities on the Teachers College (TC) campus in March of 2020 was an emergency action in response to the looming COVID-19 pandemic. Although this action was taken in the best interests of health and safety for our TC Community, the urgency of the Research Ramp-Down at that time meant that labs and research groups had to abandon their work environments and materials in earnest. </w:t>
      </w:r>
    </w:p>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after="0" w:before="9" w:line="240" w:lineRule="auto"/>
        <w:ind w:left="270"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after="0" w:before="9" w:line="240" w:lineRule="auto"/>
        <w:ind w:left="27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We all hope to avoid any repetition of the events of March 2020. However, it is important to remain aware that a research ramp-down may be required for other emergencies in the future. </w:t>
      </w:r>
    </w:p>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after="0" w:before="9" w:line="240" w:lineRule="auto"/>
        <w:ind w:left="270" w:firstLine="0"/>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after="0" w:before="9" w:line="240" w:lineRule="auto"/>
        <w:ind w:left="27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This document provides an outline of likely considerations and tasks for any research group on campus, in the event of a research ramp-down. We strongly encourage researchers to work with their staff and department in advance of any such action, to determine policies, procedures and best practices for ramping-down research should this become necessary. </w:t>
      </w:r>
      <w:r w:rsidDel="00000000" w:rsidR="00000000" w:rsidRPr="00000000">
        <w:rPr>
          <w:rFonts w:ascii="Garamond" w:cs="Garamond" w:eastAsia="Garamond" w:hAnsi="Garamond"/>
          <w:b w:val="1"/>
          <w:color w:val="000000"/>
          <w:sz w:val="24"/>
          <w:szCs w:val="24"/>
          <w:rtl w:val="0"/>
        </w:rPr>
        <w:t xml:space="preserve">Please adapt this template to meet your needs.</w:t>
      </w:r>
      <w:r w:rsidDel="00000000" w:rsidR="00000000" w:rsidRPr="00000000">
        <w:rPr>
          <w:rFonts w:ascii="Garamond" w:cs="Garamond" w:eastAsia="Garamond" w:hAnsi="Garamond"/>
          <w:color w:val="000000"/>
          <w:sz w:val="24"/>
          <w:szCs w:val="24"/>
          <w:rtl w:val="0"/>
        </w:rPr>
        <w:t xml:space="preserve"> </w:t>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after="0" w:before="9" w:line="24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0E">
      <w:pPr>
        <w:rPr>
          <w:rFonts w:ascii="Garamond" w:cs="Garamond" w:eastAsia="Garamond" w:hAnsi="Garamond"/>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after="0" w:before="9" w:line="24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0">
      <w:pPr>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sz w:val="24"/>
          <w:szCs w:val="24"/>
          <w:u w:val="single"/>
          <w:rtl w:val="0"/>
        </w:rPr>
        <w:t xml:space="preserve">Research Ramp-Down Checklist</w:t>
      </w:r>
    </w:p>
    <w:tbl>
      <w:tblPr>
        <w:tblStyle w:val="Table1"/>
        <w:tblW w:w="1035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00"/>
        <w:gridCol w:w="1350"/>
        <w:gridCol w:w="4500"/>
        <w:tblGridChange w:id="0">
          <w:tblGrid>
            <w:gridCol w:w="4500"/>
            <w:gridCol w:w="1350"/>
            <w:gridCol w:w="4500"/>
          </w:tblGrid>
        </w:tblGridChange>
      </w:tblGrid>
      <w:tr>
        <w:trPr>
          <w:cantSplit w:val="0"/>
          <w:trHeight w:val="350" w:hRule="atLeast"/>
          <w:tblHeader w:val="0"/>
        </w:trPr>
        <w:tc>
          <w:tcPr/>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PREPARING</w:t>
            </w:r>
          </w:p>
        </w:tc>
        <w:tc>
          <w:tcPr/>
          <w:p w:rsidR="00000000" w:rsidDel="00000000" w:rsidP="00000000" w:rsidRDefault="00000000" w:rsidRPr="00000000" w14:paraId="00000012">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Completed?</w:t>
            </w:r>
          </w:p>
        </w:tc>
        <w:tc>
          <w:tcPr/>
          <w:p w:rsidR="00000000" w:rsidDel="00000000" w:rsidP="00000000" w:rsidRDefault="00000000" w:rsidRPr="00000000" w14:paraId="00000013">
            <w:pPr>
              <w:pBdr>
                <w:top w:space="0" w:sz="0" w:val="nil"/>
                <w:left w:space="0" w:sz="0" w:val="nil"/>
                <w:bottom w:space="0" w:sz="0" w:val="nil"/>
                <w:right w:space="0" w:sz="0" w:val="nil"/>
                <w:between w:space="0" w:sz="0" w:val="nil"/>
              </w:pBdr>
              <w:spacing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 </w:t>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(indicate “not applicable,” if appropriate)</w:t>
            </w:r>
          </w:p>
        </w:tc>
      </w:tr>
      <w:tr>
        <w:trPr>
          <w:cantSplit w:val="0"/>
          <w:tblHeader w:val="0"/>
        </w:trPr>
        <w:tc>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Identify all non-critical activities to be ramped-down, curtailed, suspended or delayed in the event of an emergency.</w:t>
            </w:r>
          </w:p>
        </w:tc>
        <w:tc>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Designate personnel able to safely perform essential activities.</w:t>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Ensure that individuals who perform critical tasks are adequately trained. </w:t>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E">
            <w:pPr>
              <w:ind w:left="162" w:firstLine="0"/>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Establish a contact list including public safety offices. </w:t>
            </w: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1">
            <w:pPr>
              <w:ind w:left="16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Cross</w:t>
            </w:r>
            <w:r w:rsidDel="00000000" w:rsidR="00000000" w:rsidRPr="00000000">
              <w:rPr>
                <w:rFonts w:ascii="Cambria Math" w:cs="Cambria Math" w:eastAsia="Cambria Math" w:hAnsi="Cambria Math"/>
                <w:color w:val="000000"/>
                <w:sz w:val="24"/>
                <w:szCs w:val="24"/>
                <w:rtl w:val="0"/>
              </w:rPr>
              <w:t xml:space="preserve">‐</w:t>
            </w:r>
            <w:r w:rsidDel="00000000" w:rsidR="00000000" w:rsidRPr="00000000">
              <w:rPr>
                <w:rFonts w:ascii="Garamond" w:cs="Garamond" w:eastAsia="Garamond" w:hAnsi="Garamond"/>
                <w:color w:val="000000"/>
                <w:sz w:val="24"/>
                <w:szCs w:val="24"/>
                <w:rtl w:val="0"/>
              </w:rPr>
              <w:t xml:space="preserve">train research staff so they are equipped in the event of an emergency </w:t>
            </w:r>
            <w:r w:rsidDel="00000000" w:rsidR="00000000" w:rsidRPr="00000000">
              <w:rPr>
                <w:rFonts w:ascii="Garamond" w:cs="Garamond" w:eastAsia="Garamond" w:hAnsi="Garamond"/>
                <w:sz w:val="24"/>
                <w:szCs w:val="24"/>
                <w:rtl w:val="0"/>
              </w:rPr>
              <w:t xml:space="preserve">to maintain </w:t>
            </w:r>
            <w:r w:rsidDel="00000000" w:rsidR="00000000" w:rsidRPr="00000000">
              <w:rPr>
                <w:rFonts w:ascii="Garamond" w:cs="Garamond" w:eastAsia="Garamond" w:hAnsi="Garamond"/>
                <w:color w:val="000000"/>
                <w:sz w:val="24"/>
                <w:szCs w:val="24"/>
                <w:rtl w:val="0"/>
              </w:rPr>
              <w:t xml:space="preserve">critical equipment or operations.</w:t>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Establish a hygiene policy for equipment, office space, and other lab-related activities.</w:t>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Purchase additional software licenses and hardware as needed for remote operations. </w:t>
            </w:r>
            <w:hyperlink r:id="rId11">
              <w:r w:rsidDel="00000000" w:rsidR="00000000" w:rsidRPr="00000000">
                <w:rPr>
                  <w:rFonts w:ascii="Garamond" w:cs="Garamond" w:eastAsia="Garamond" w:hAnsi="Garamond"/>
                  <w:color w:val="0563c1"/>
                  <w:sz w:val="24"/>
                  <w:szCs w:val="24"/>
                  <w:u w:val="single"/>
                  <w:rtl w:val="0"/>
                </w:rPr>
                <w:t xml:space="preserve">Consult with TC IT for support and training</w:t>
              </w:r>
            </w:hyperlink>
            <w:r w:rsidDel="00000000" w:rsidR="00000000" w:rsidRPr="00000000">
              <w:rPr>
                <w:rFonts w:ascii="Garamond" w:cs="Garamond" w:eastAsia="Garamond" w:hAnsi="Garamond"/>
                <w:color w:val="000000"/>
                <w:sz w:val="24"/>
                <w:szCs w:val="24"/>
                <w:rtl w:val="0"/>
              </w:rPr>
              <w:t xml:space="preserve">.</w:t>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Other recommendations from the </w:t>
            </w:r>
            <w:hyperlink r:id="rId12">
              <w:r w:rsidDel="00000000" w:rsidR="00000000" w:rsidRPr="00000000">
                <w:rPr>
                  <w:rFonts w:ascii="Garamond" w:cs="Garamond" w:eastAsia="Garamond" w:hAnsi="Garamond"/>
                  <w:color w:val="0563c1"/>
                  <w:sz w:val="24"/>
                  <w:szCs w:val="24"/>
                  <w:u w:val="single"/>
                  <w:rtl w:val="0"/>
                </w:rPr>
                <w:t xml:space="preserve">Job Safety Assessment</w:t>
              </w:r>
            </w:hyperlink>
            <w:r w:rsidDel="00000000" w:rsidR="00000000" w:rsidRPr="00000000">
              <w:rPr>
                <w:rFonts w:ascii="Garamond" w:cs="Garamond" w:eastAsia="Garamond" w:hAnsi="Garamond"/>
                <w:color w:val="000000"/>
                <w:sz w:val="24"/>
                <w:szCs w:val="24"/>
                <w:rtl w:val="0"/>
              </w:rPr>
              <w:t xml:space="preserve"> (for research lab and spaces).</w:t>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Other recommendations from individual research leads.</w:t>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bl>
    <w:p w:rsidR="00000000" w:rsidDel="00000000" w:rsidP="00000000" w:rsidRDefault="00000000" w:rsidRPr="00000000" w14:paraId="00000030">
      <w:pPr>
        <w:rPr>
          <w:rFonts w:ascii="Garamond" w:cs="Garamond" w:eastAsia="Garamond" w:hAnsi="Garamond"/>
          <w:sz w:val="24"/>
          <w:szCs w:val="24"/>
        </w:rPr>
      </w:pPr>
      <w:r w:rsidDel="00000000" w:rsidR="00000000" w:rsidRPr="00000000">
        <w:rPr>
          <w:rtl w:val="0"/>
        </w:rPr>
      </w:r>
    </w:p>
    <w:tbl>
      <w:tblPr>
        <w:tblStyle w:val="Table2"/>
        <w:tblW w:w="1035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00"/>
        <w:gridCol w:w="1350"/>
        <w:gridCol w:w="4500"/>
        <w:tblGridChange w:id="0">
          <w:tblGrid>
            <w:gridCol w:w="4500"/>
            <w:gridCol w:w="1350"/>
            <w:gridCol w:w="4500"/>
          </w:tblGrid>
        </w:tblGridChange>
      </w:tblGrid>
      <w:tr>
        <w:trPr>
          <w:cantSplit w:val="0"/>
          <w:trHeight w:val="350" w:hRule="atLeast"/>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b w:val="1"/>
                <w:smallCaps w:val="1"/>
                <w:color w:val="000000"/>
                <w:sz w:val="24"/>
                <w:szCs w:val="24"/>
              </w:rPr>
            </w:pPr>
            <w:r w:rsidDel="00000000" w:rsidR="00000000" w:rsidRPr="00000000">
              <w:rPr>
                <w:rFonts w:ascii="Garamond" w:cs="Garamond" w:eastAsia="Garamond" w:hAnsi="Garamond"/>
                <w:b w:val="1"/>
                <w:smallCaps w:val="1"/>
                <w:color w:val="000000"/>
                <w:sz w:val="24"/>
                <w:szCs w:val="24"/>
                <w:rtl w:val="0"/>
              </w:rPr>
              <w:t xml:space="preserve">COMMUNICATIONS AND INFORMATION TECHNOLOGY</w:t>
            </w:r>
          </w:p>
        </w:tc>
        <w:tc>
          <w:tcPr/>
          <w:p w:rsidR="00000000" w:rsidDel="00000000" w:rsidP="00000000" w:rsidRDefault="00000000" w:rsidRPr="00000000" w14:paraId="00000032">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Completed?</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 </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(indicate “not applicable,” if appropriate)</w:t>
            </w:r>
          </w:p>
        </w:tc>
      </w:tr>
      <w:tr>
        <w:trPr>
          <w:cantSplit w:val="0"/>
          <w:tblHeader w:val="0"/>
        </w:trPr>
        <w:tc>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before="14" w:line="254" w:lineRule="auto"/>
              <w:ind w:left="160" w:right="437"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Create a contact list including all lab personnel, principal investigator, (if applicable) lab </w:t>
            </w:r>
            <w:hyperlink r:id="rId13">
              <w:r w:rsidDel="00000000" w:rsidR="00000000" w:rsidRPr="00000000">
                <w:rPr>
                  <w:rFonts w:ascii="Garamond" w:cs="Garamond" w:eastAsia="Garamond" w:hAnsi="Garamond"/>
                  <w:color w:val="0563c1"/>
                  <w:sz w:val="24"/>
                  <w:szCs w:val="24"/>
                  <w:u w:val="single"/>
                  <w:rtl w:val="0"/>
                </w:rPr>
                <w:t xml:space="preserve">Research Safety Monitor</w:t>
              </w:r>
            </w:hyperlink>
            <w:r w:rsidDel="00000000" w:rsidR="00000000" w:rsidRPr="00000000">
              <w:rPr>
                <w:rFonts w:ascii="Garamond" w:cs="Garamond" w:eastAsia="Garamond" w:hAnsi="Garamond"/>
                <w:color w:val="000000"/>
                <w:sz w:val="24"/>
                <w:szCs w:val="24"/>
                <w:rtl w:val="0"/>
              </w:rPr>
              <w:t xml:space="preserve"> (and second, if applicable), department administrators and supports, </w:t>
            </w:r>
            <w:hyperlink r:id="rId14">
              <w:r w:rsidDel="00000000" w:rsidR="00000000" w:rsidRPr="00000000">
                <w:rPr>
                  <w:rFonts w:ascii="Garamond" w:cs="Garamond" w:eastAsia="Garamond" w:hAnsi="Garamond"/>
                  <w:color w:val="0563c1"/>
                  <w:sz w:val="24"/>
                  <w:szCs w:val="24"/>
                  <w:u w:val="single"/>
                  <w:rtl w:val="0"/>
                </w:rPr>
                <w:t xml:space="preserve">College EHS</w:t>
              </w:r>
            </w:hyperlink>
            <w:r w:rsidDel="00000000" w:rsidR="00000000" w:rsidRPr="00000000">
              <w:rPr>
                <w:rFonts w:ascii="Garamond" w:cs="Garamond" w:eastAsia="Garamond" w:hAnsi="Garamond"/>
                <w:color w:val="000000"/>
                <w:sz w:val="24"/>
                <w:szCs w:val="24"/>
                <w:rtl w:val="0"/>
              </w:rPr>
              <w:t xml:space="preserve"> and </w:t>
            </w:r>
            <w:hyperlink r:id="rId15">
              <w:r w:rsidDel="00000000" w:rsidR="00000000" w:rsidRPr="00000000">
                <w:rPr>
                  <w:rFonts w:ascii="Garamond" w:cs="Garamond" w:eastAsia="Garamond" w:hAnsi="Garamond"/>
                  <w:color w:val="0563c1"/>
                  <w:sz w:val="24"/>
                  <w:szCs w:val="24"/>
                  <w:u w:val="single"/>
                  <w:rtl w:val="0"/>
                </w:rPr>
                <w:t xml:space="preserve">HR offices</w:t>
              </w:r>
            </w:hyperlink>
            <w:r w:rsidDel="00000000" w:rsidR="00000000" w:rsidRPr="00000000">
              <w:rPr>
                <w:rFonts w:ascii="Garamond" w:cs="Garamond" w:eastAsia="Garamond" w:hAnsi="Garamond"/>
                <w:color w:val="000000"/>
                <w:sz w:val="24"/>
                <w:szCs w:val="24"/>
                <w:rtl w:val="0"/>
              </w:rPr>
              <w:t xml:space="preserve">, </w:t>
            </w:r>
            <w:hyperlink r:id="rId16">
              <w:r w:rsidDel="00000000" w:rsidR="00000000" w:rsidRPr="00000000">
                <w:rPr>
                  <w:rFonts w:ascii="Garamond" w:cs="Garamond" w:eastAsia="Garamond" w:hAnsi="Garamond"/>
                  <w:color w:val="0563c1"/>
                  <w:sz w:val="24"/>
                  <w:szCs w:val="24"/>
                  <w:u w:val="single"/>
                  <w:rtl w:val="0"/>
                </w:rPr>
                <w:t xml:space="preserve">Public Safety</w:t>
              </w:r>
            </w:hyperlink>
            <w:r w:rsidDel="00000000" w:rsidR="00000000" w:rsidRPr="00000000">
              <w:rPr>
                <w:rFonts w:ascii="Garamond" w:cs="Garamond" w:eastAsia="Garamond" w:hAnsi="Garamond"/>
                <w:color w:val="000000"/>
                <w:sz w:val="24"/>
                <w:szCs w:val="24"/>
                <w:rtl w:val="0"/>
              </w:rPr>
              <w:t xml:space="preserve">, etc. </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Ensure that the contact list is posted somewhere accessible both locally and remotely accessible by all members of the research group (e.g., on research lab door and TC Google docs).</w:t>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Test your phone tree or email group to facilitate emergency communication among researchers and staff.</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Identify computing resources required to work remotely.</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1">
            <w:pPr>
              <w:ind w:left="162" w:firstLine="0"/>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Engage IT support team members and determine any special steps required to make remote work available and secure.</w:t>
            </w: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4">
            <w:pPr>
              <w:ind w:left="16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Follow the </w:t>
            </w:r>
            <w:hyperlink r:id="rId17">
              <w:r w:rsidDel="00000000" w:rsidR="00000000" w:rsidRPr="00000000">
                <w:rPr>
                  <w:rFonts w:ascii="Garamond" w:cs="Garamond" w:eastAsia="Garamond" w:hAnsi="Garamond"/>
                  <w:color w:val="0563c1"/>
                  <w:sz w:val="24"/>
                  <w:szCs w:val="24"/>
                  <w:u w:val="single"/>
                  <w:rtl w:val="0"/>
                </w:rPr>
                <w:t xml:space="preserve">Institutional Review Board’s Data Security Plan</w:t>
              </w:r>
            </w:hyperlink>
            <w:r w:rsidDel="00000000" w:rsidR="00000000" w:rsidRPr="00000000">
              <w:rPr>
                <w:rFonts w:ascii="Garamond" w:cs="Garamond" w:eastAsia="Garamond" w:hAnsi="Garamond"/>
                <w:color w:val="000000"/>
                <w:sz w:val="24"/>
                <w:szCs w:val="24"/>
                <w:rtl w:val="0"/>
              </w:rPr>
              <w:t xml:space="preserve"> (available through MyTC/Mentor IRB/Documentation)</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Back up and secure critical data.</w:t>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bl>
    <w:p w:rsidR="00000000" w:rsidDel="00000000" w:rsidP="00000000" w:rsidRDefault="00000000" w:rsidRPr="00000000" w14:paraId="0000004A">
      <w:pPr>
        <w:ind w:left="576" w:firstLine="0"/>
        <w:rPr>
          <w:rFonts w:ascii="Garamond" w:cs="Garamond" w:eastAsia="Garamond" w:hAnsi="Garamond"/>
          <w:sz w:val="24"/>
          <w:szCs w:val="24"/>
        </w:rPr>
      </w:pPr>
      <w:r w:rsidDel="00000000" w:rsidR="00000000" w:rsidRPr="00000000">
        <w:rPr>
          <w:rtl w:val="0"/>
        </w:rPr>
      </w:r>
    </w:p>
    <w:tbl>
      <w:tblPr>
        <w:tblStyle w:val="Table3"/>
        <w:tblW w:w="1035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00"/>
        <w:gridCol w:w="1350"/>
        <w:gridCol w:w="4500"/>
        <w:tblGridChange w:id="0">
          <w:tblGrid>
            <w:gridCol w:w="4500"/>
            <w:gridCol w:w="1350"/>
            <w:gridCol w:w="4500"/>
          </w:tblGrid>
        </w:tblGridChange>
      </w:tblGrid>
      <w:tr>
        <w:trPr>
          <w:cantSplit w:val="0"/>
          <w:tblHeader w:val="0"/>
        </w:trPr>
        <w:tc>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b w:val="1"/>
                <w:smallCaps w:val="1"/>
                <w:color w:val="000000"/>
                <w:sz w:val="24"/>
                <w:szCs w:val="24"/>
              </w:rPr>
            </w:pPr>
            <w:r w:rsidDel="00000000" w:rsidR="00000000" w:rsidRPr="00000000">
              <w:rPr>
                <w:rFonts w:ascii="Garamond" w:cs="Garamond" w:eastAsia="Garamond" w:hAnsi="Garamond"/>
                <w:b w:val="1"/>
                <w:smallCaps w:val="1"/>
                <w:color w:val="000000"/>
                <w:sz w:val="24"/>
                <w:szCs w:val="24"/>
                <w:rtl w:val="0"/>
              </w:rPr>
              <w:t xml:space="preserve">RESEARCH AND MATERIALS</w:t>
            </w:r>
          </w:p>
        </w:tc>
        <w:tc>
          <w:tcPr/>
          <w:p w:rsidR="00000000" w:rsidDel="00000000" w:rsidP="00000000" w:rsidRDefault="00000000" w:rsidRPr="00000000" w14:paraId="0000004C">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Completed?</w:t>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 </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(indicate “not applicable,” if appropriate)</w:t>
            </w:r>
          </w:p>
        </w:tc>
      </w:tr>
      <w:tr>
        <w:trPr>
          <w:cantSplit w:val="0"/>
          <w:tblHeader w:val="0"/>
        </w:trPr>
        <w:tc>
          <w:tcPr/>
          <w:p w:rsidR="00000000" w:rsidDel="00000000" w:rsidP="00000000" w:rsidRDefault="00000000" w:rsidRPr="00000000" w14:paraId="0000004F">
            <w:pPr>
              <w:ind w:left="144" w:firstLine="0"/>
              <w:rPr>
                <w:rFonts w:ascii="Garamond" w:cs="Garamond" w:eastAsia="Garamond" w:hAnsi="Garamond"/>
                <w:sz w:val="24"/>
                <w:szCs w:val="24"/>
              </w:rPr>
            </w:pPr>
            <w:hyperlink r:id="rId18">
              <w:r w:rsidDel="00000000" w:rsidR="00000000" w:rsidRPr="00000000">
                <w:rPr>
                  <w:rFonts w:ascii="Garamond" w:cs="Garamond" w:eastAsia="Garamond" w:hAnsi="Garamond"/>
                  <w:color w:val="0563c1"/>
                  <w:sz w:val="24"/>
                  <w:szCs w:val="24"/>
                  <w:highlight w:val="white"/>
                  <w:u w:val="single"/>
                  <w:rtl w:val="0"/>
                </w:rPr>
                <w:t xml:space="preserve">Terminate unattended research operations</w:t>
              </w:r>
            </w:hyperlink>
            <w:r w:rsidDel="00000000" w:rsidR="00000000" w:rsidRPr="00000000">
              <w:rPr>
                <w:rFonts w:ascii="Garamond" w:cs="Garamond" w:eastAsia="Garamond" w:hAnsi="Garamond"/>
                <w:color w:val="000000"/>
                <w:sz w:val="24"/>
                <w:szCs w:val="24"/>
                <w:highlight w:val="white"/>
                <w:rtl w:val="0"/>
              </w:rPr>
              <w:t xml:space="preserve">, especially those involving in-person study activities. </w:t>
            </w:r>
            <w:r w:rsidDel="00000000" w:rsidR="00000000" w:rsidRPr="00000000">
              <w:rPr>
                <w:rtl w:val="0"/>
              </w:rPr>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Consolidate storage of valuable items within storage units that have backup systems.</w:t>
            </w:r>
          </w:p>
        </w:tc>
        <w:tc>
          <w:tcPr/>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hyperlink r:id="rId19">
              <w:r w:rsidDel="00000000" w:rsidR="00000000" w:rsidRPr="00000000">
                <w:rPr>
                  <w:rFonts w:ascii="Garamond" w:cs="Garamond" w:eastAsia="Garamond" w:hAnsi="Garamond"/>
                  <w:color w:val="0563c1"/>
                  <w:sz w:val="24"/>
                  <w:szCs w:val="24"/>
                  <w:u w:val="single"/>
                  <w:rtl w:val="0"/>
                </w:rPr>
                <w:t xml:space="preserve">Store all existing data securely</w:t>
              </w:r>
            </w:hyperlink>
            <w:r w:rsidDel="00000000" w:rsidR="00000000" w:rsidRPr="00000000">
              <w:rPr>
                <w:rFonts w:ascii="Garamond" w:cs="Garamond" w:eastAsia="Garamond" w:hAnsi="Garamond"/>
                <w:color w:val="000000"/>
                <w:sz w:val="24"/>
                <w:szCs w:val="24"/>
                <w:rtl w:val="0"/>
              </w:rPr>
              <w:t xml:space="preserve"> in locked offices, locked drawers, or other secure location.</w:t>
            </w:r>
          </w:p>
        </w:tc>
        <w:tc>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Establish a plan to support specialized equipment such as electroencephalogram (EEG) devices or muscle functional magnetic resonance imaging (MfMRI).</w:t>
            </w:r>
          </w:p>
        </w:tc>
        <w:tc>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Ensure that all items, files, physical data sets are labeled appropriately.</w:t>
            </w:r>
          </w:p>
        </w:tc>
        <w:tc>
          <w:tcPr/>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Do not order any new research materials unless needed for minimal critical functions.</w:t>
            </w:r>
          </w:p>
        </w:tc>
        <w:tc>
          <w:tcPr/>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Cancel orders for non-essential research materials if not yet shipped. </w:t>
            </w:r>
          </w:p>
        </w:tc>
        <w:tc>
          <w:tcPr/>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Contact the mail office to notify them of any expected incoming shipments and let them know where these should be delivered if personnel are unavailable.</w:t>
            </w:r>
          </w:p>
        </w:tc>
        <w:tc>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Secure biological samples, chemicals, or any hazardous materials in long-term storage. Contact </w:t>
            </w:r>
            <w:hyperlink r:id="rId20">
              <w:r w:rsidDel="00000000" w:rsidR="00000000" w:rsidRPr="00000000">
                <w:rPr>
                  <w:rFonts w:ascii="Garamond" w:cs="Garamond" w:eastAsia="Garamond" w:hAnsi="Garamond"/>
                  <w:color w:val="0563c1"/>
                  <w:sz w:val="24"/>
                  <w:szCs w:val="24"/>
                  <w:u w:val="single"/>
                  <w:rtl w:val="0"/>
                </w:rPr>
                <w:t xml:space="preserve">TC’s Environmental Health and Safety Office</w:t>
              </w:r>
            </w:hyperlink>
            <w:r w:rsidDel="00000000" w:rsidR="00000000" w:rsidRPr="00000000">
              <w:rPr>
                <w:rFonts w:ascii="Garamond" w:cs="Garamond" w:eastAsia="Garamond" w:hAnsi="Garamond"/>
                <w:color w:val="000000"/>
                <w:sz w:val="24"/>
                <w:szCs w:val="24"/>
                <w:rtl w:val="0"/>
              </w:rPr>
              <w:t xml:space="preserve"> (EHS) if you need guidance.</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bl>
    <w:p w:rsidR="00000000" w:rsidDel="00000000" w:rsidP="00000000" w:rsidRDefault="00000000" w:rsidRPr="00000000" w14:paraId="0000006A">
      <w:pPr>
        <w:ind w:left="576" w:firstLine="0"/>
        <w:rPr>
          <w:rFonts w:ascii="Garamond" w:cs="Garamond" w:eastAsia="Garamond" w:hAnsi="Garamond"/>
          <w:sz w:val="24"/>
          <w:szCs w:val="24"/>
        </w:rPr>
      </w:pPr>
      <w:r w:rsidDel="00000000" w:rsidR="00000000" w:rsidRPr="00000000">
        <w:rPr>
          <w:rtl w:val="0"/>
        </w:rPr>
      </w:r>
    </w:p>
    <w:tbl>
      <w:tblPr>
        <w:tblStyle w:val="Table4"/>
        <w:tblW w:w="10350.0" w:type="dxa"/>
        <w:jc w:val="left"/>
        <w:tblInd w:w="26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00"/>
        <w:gridCol w:w="1350"/>
        <w:gridCol w:w="4500"/>
        <w:tblGridChange w:id="0">
          <w:tblGrid>
            <w:gridCol w:w="4500"/>
            <w:gridCol w:w="1350"/>
            <w:gridCol w:w="4500"/>
          </w:tblGrid>
        </w:tblGridChange>
      </w:tblGrid>
      <w:tr>
        <w:trPr>
          <w:cantSplit w:val="0"/>
          <w:tblHeader w:val="0"/>
        </w:trPr>
        <w:tc>
          <w:tcPr/>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b w:val="1"/>
                <w:smallCaps w:val="1"/>
                <w:color w:val="000000"/>
                <w:sz w:val="24"/>
                <w:szCs w:val="24"/>
              </w:rPr>
            </w:pPr>
            <w:r w:rsidDel="00000000" w:rsidR="00000000" w:rsidRPr="00000000">
              <w:rPr>
                <w:rFonts w:ascii="Garamond" w:cs="Garamond" w:eastAsia="Garamond" w:hAnsi="Garamond"/>
                <w:b w:val="1"/>
                <w:smallCaps w:val="1"/>
                <w:color w:val="000000"/>
                <w:sz w:val="24"/>
                <w:szCs w:val="24"/>
                <w:rtl w:val="0"/>
              </w:rPr>
              <w:t xml:space="preserve">EQUIPMENT</w:t>
            </w:r>
          </w:p>
        </w:tc>
        <w:tc>
          <w:tcPr/>
          <w:p w:rsidR="00000000" w:rsidDel="00000000" w:rsidP="00000000" w:rsidRDefault="00000000" w:rsidRPr="00000000" w14:paraId="0000006C">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Completed?</w:t>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(indicate “not applicable,” if appropriate)</w:t>
            </w:r>
          </w:p>
        </w:tc>
      </w:tr>
      <w:tr>
        <w:trPr>
          <w:cantSplit w:val="0"/>
          <w:tblHeader w:val="0"/>
        </w:trPr>
        <w:tc>
          <w:tcPr/>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Check </w:t>
            </w:r>
            <w:r w:rsidDel="00000000" w:rsidR="00000000" w:rsidRPr="00000000">
              <w:rPr>
                <w:rFonts w:ascii="Garamond" w:cs="Garamond" w:eastAsia="Garamond" w:hAnsi="Garamond"/>
                <w:sz w:val="24"/>
                <w:szCs w:val="24"/>
                <w:rtl w:val="0"/>
              </w:rPr>
              <w:t xml:space="preserve">that the refrigerator</w:t>
            </w:r>
            <w:r w:rsidDel="00000000" w:rsidR="00000000" w:rsidRPr="00000000">
              <w:rPr>
                <w:rFonts w:ascii="Garamond" w:cs="Garamond" w:eastAsia="Garamond" w:hAnsi="Garamond"/>
                <w:color w:val="000000"/>
                <w:sz w:val="24"/>
                <w:szCs w:val="24"/>
                <w:rtl w:val="0"/>
              </w:rPr>
              <w:t xml:space="preserve">, freezer, and other doors are tightly closed.</w:t>
            </w:r>
          </w:p>
        </w:tc>
        <w:tc>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Turn off appliances, computers, specialized </w:t>
            </w:r>
            <w:r w:rsidDel="00000000" w:rsidR="00000000" w:rsidRPr="00000000">
              <w:rPr>
                <w:rFonts w:ascii="Garamond" w:cs="Garamond" w:eastAsia="Garamond" w:hAnsi="Garamond"/>
                <w:sz w:val="24"/>
                <w:szCs w:val="24"/>
                <w:rtl w:val="0"/>
              </w:rPr>
              <w:t xml:space="preserve">equipment and</w:t>
            </w:r>
            <w:r w:rsidDel="00000000" w:rsidR="00000000" w:rsidRPr="00000000">
              <w:rPr>
                <w:rFonts w:ascii="Garamond" w:cs="Garamond" w:eastAsia="Garamond" w:hAnsi="Garamond"/>
                <w:color w:val="000000"/>
                <w:sz w:val="24"/>
                <w:szCs w:val="24"/>
                <w:rtl w:val="0"/>
              </w:rPr>
              <w:t xml:space="preserve"> other equipment. Unplug all equipment, if possible.</w:t>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Elevate equipment, materials and supplies, off of the floor to protect against flooding from broken pipes.</w:t>
            </w:r>
          </w:p>
        </w:tc>
        <w:tc>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Inspect all equipment requiring uninterrupted power for electricity. Communicate with the Facilities Office supplied through an Uninterrupted Power Supply (UPS) and by emergency power (emergency generator).</w:t>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Shut down and unplug sensitive electric equipment.</w:t>
            </w:r>
          </w:p>
        </w:tc>
        <w:tc>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bl>
    <w:p w:rsidR="00000000" w:rsidDel="00000000" w:rsidP="00000000" w:rsidRDefault="00000000" w:rsidRPr="00000000" w14:paraId="0000007E">
      <w:pPr>
        <w:rPr>
          <w:rFonts w:ascii="Garamond" w:cs="Garamond" w:eastAsia="Garamond" w:hAnsi="Garamond"/>
          <w:sz w:val="24"/>
          <w:szCs w:val="24"/>
        </w:rPr>
      </w:pPr>
      <w:r w:rsidDel="00000000" w:rsidR="00000000" w:rsidRPr="00000000">
        <w:rPr>
          <w:rtl w:val="0"/>
        </w:rPr>
      </w:r>
    </w:p>
    <w:tbl>
      <w:tblPr>
        <w:tblStyle w:val="Table5"/>
        <w:tblW w:w="10260.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1350"/>
        <w:gridCol w:w="4500"/>
        <w:tblGridChange w:id="0">
          <w:tblGrid>
            <w:gridCol w:w="4410"/>
            <w:gridCol w:w="1350"/>
            <w:gridCol w:w="4500"/>
          </w:tblGrid>
        </w:tblGridChange>
      </w:tblGrid>
      <w:tr>
        <w:trPr>
          <w:cantSplit w:val="0"/>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b w:val="1"/>
                <w:smallCaps w:val="1"/>
                <w:color w:val="000000"/>
                <w:sz w:val="24"/>
                <w:szCs w:val="24"/>
              </w:rPr>
            </w:pPr>
            <w:r w:rsidDel="00000000" w:rsidR="00000000" w:rsidRPr="00000000">
              <w:rPr>
                <w:rFonts w:ascii="Garamond" w:cs="Garamond" w:eastAsia="Garamond" w:hAnsi="Garamond"/>
                <w:b w:val="1"/>
                <w:smallCaps w:val="1"/>
                <w:color w:val="000000"/>
                <w:sz w:val="24"/>
                <w:szCs w:val="24"/>
                <w:rtl w:val="0"/>
              </w:rPr>
              <w:t xml:space="preserve">SECURITY</w:t>
            </w:r>
          </w:p>
        </w:tc>
        <w:tc>
          <w:tcPr/>
          <w:p w:rsidR="00000000" w:rsidDel="00000000" w:rsidP="00000000" w:rsidRDefault="00000000" w:rsidRPr="00000000" w14:paraId="00000080">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Completed?</w:t>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(indicate “not applicable,” if appropriate)</w:t>
            </w:r>
          </w:p>
        </w:tc>
      </w:tr>
      <w:tr>
        <w:trPr>
          <w:cantSplit w:val="0"/>
          <w:tblHeader w:val="0"/>
        </w:trPr>
        <w:tc>
          <w:tcPr/>
          <w:p w:rsidR="00000000" w:rsidDel="00000000" w:rsidP="00000000" w:rsidRDefault="00000000" w:rsidRPr="00000000" w14:paraId="00000083">
            <w:pPr>
              <w:ind w:left="144"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Lock all entrances to the lab.  Ensure key personnel who will support critical functions have appropriate access.</w:t>
            </w:r>
          </w:p>
        </w:tc>
        <w:tc>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6">
            <w:pPr>
              <w:ind w:left="144"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Ensure windows are closed.</w:t>
            </w:r>
          </w:p>
        </w:tc>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9">
            <w:pPr>
              <w:ind w:left="144"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Secure lab notebooks and other data.</w:t>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Take laptops home.</w:t>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Communicate with the Information Technology on how to best secure electronic devices for remote work.</w:t>
            </w:r>
          </w:p>
        </w:tc>
        <w:tc>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bl>
    <w:p w:rsidR="00000000" w:rsidDel="00000000" w:rsidP="00000000" w:rsidRDefault="00000000" w:rsidRPr="00000000" w14:paraId="0000009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93">
      <w:pPr>
        <w:rPr>
          <w:rFonts w:ascii="Garamond" w:cs="Garamond" w:eastAsia="Garamond" w:hAnsi="Garamond"/>
          <w:sz w:val="24"/>
          <w:szCs w:val="24"/>
        </w:rPr>
      </w:pPr>
      <w:r w:rsidDel="00000000" w:rsidR="00000000" w:rsidRPr="00000000">
        <w:rPr>
          <w:rtl w:val="0"/>
        </w:rPr>
      </w:r>
    </w:p>
    <w:tbl>
      <w:tblPr>
        <w:tblStyle w:val="Table6"/>
        <w:tblW w:w="10260.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1350"/>
        <w:gridCol w:w="4500"/>
        <w:tblGridChange w:id="0">
          <w:tblGrid>
            <w:gridCol w:w="4410"/>
            <w:gridCol w:w="1350"/>
            <w:gridCol w:w="4500"/>
          </w:tblGrid>
        </w:tblGridChange>
      </w:tblGrid>
      <w:tr>
        <w:trPr>
          <w:cantSplit w:val="0"/>
          <w:tblHeader w:val="0"/>
        </w:trPr>
        <w:tc>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b w:val="1"/>
                <w:smallCaps w:val="1"/>
                <w:color w:val="000000"/>
                <w:sz w:val="24"/>
                <w:szCs w:val="24"/>
              </w:rPr>
            </w:pPr>
            <w:r w:rsidDel="00000000" w:rsidR="00000000" w:rsidRPr="00000000">
              <w:rPr>
                <w:rFonts w:ascii="Garamond" w:cs="Garamond" w:eastAsia="Garamond" w:hAnsi="Garamond"/>
                <w:b w:val="1"/>
                <w:smallCaps w:val="1"/>
                <w:color w:val="000000"/>
                <w:sz w:val="24"/>
                <w:szCs w:val="24"/>
                <w:rtl w:val="0"/>
              </w:rPr>
              <w:t xml:space="preserve">SPACE HYGIENE MEASURES</w:t>
            </w:r>
          </w:p>
        </w:tc>
        <w:tc>
          <w:tcPr/>
          <w:p w:rsidR="00000000" w:rsidDel="00000000" w:rsidP="00000000" w:rsidRDefault="00000000" w:rsidRPr="00000000" w14:paraId="00000095">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Completed?</w:t>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Notes</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(indicate “not applicable,” if appropriate)</w:t>
            </w:r>
          </w:p>
        </w:tc>
      </w:tr>
      <w:tr>
        <w:trPr>
          <w:cantSplit w:val="0"/>
          <w:tblHeader w:val="0"/>
        </w:trPr>
        <w:tc>
          <w:tcPr/>
          <w:p w:rsidR="00000000" w:rsidDel="00000000" w:rsidP="00000000" w:rsidRDefault="00000000" w:rsidRPr="00000000" w14:paraId="00000098">
            <w:pPr>
              <w:ind w:left="144" w:firstLine="0"/>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Clean and disinfect areas of the research space per </w:t>
            </w:r>
            <w:hyperlink r:id="rId21">
              <w:r w:rsidDel="00000000" w:rsidR="00000000" w:rsidRPr="00000000">
                <w:rPr>
                  <w:rFonts w:ascii="Garamond" w:cs="Garamond" w:eastAsia="Garamond" w:hAnsi="Garamond"/>
                  <w:color w:val="0563c1"/>
                  <w:sz w:val="24"/>
                  <w:szCs w:val="24"/>
                  <w:u w:val="single"/>
                  <w:rtl w:val="0"/>
                </w:rPr>
                <w:t xml:space="preserve">EHS guidelines</w:t>
              </w:r>
            </w:hyperlink>
            <w:r w:rsidDel="00000000" w:rsidR="00000000" w:rsidRPr="00000000">
              <w:rPr>
                <w:rFonts w:ascii="Garamond" w:cs="Garamond" w:eastAsia="Garamond" w:hAnsi="Garamond"/>
                <w:color w:val="000000"/>
                <w:sz w:val="24"/>
                <w:szCs w:val="24"/>
                <w:rtl w:val="0"/>
              </w:rPr>
              <w:t xml:space="preserve"> following </w:t>
            </w:r>
            <w:hyperlink r:id="rId22">
              <w:r w:rsidDel="00000000" w:rsidR="00000000" w:rsidRPr="00000000">
                <w:rPr>
                  <w:rFonts w:ascii="Garamond" w:cs="Garamond" w:eastAsia="Garamond" w:hAnsi="Garamond"/>
                  <w:color w:val="0563c1"/>
                  <w:sz w:val="24"/>
                  <w:szCs w:val="24"/>
                  <w:u w:val="single"/>
                  <w:rtl w:val="0"/>
                </w:rPr>
                <w:t xml:space="preserve">Job Safety Assessment (JSA)</w:t>
              </w:r>
            </w:hyperlink>
            <w:r w:rsidDel="00000000" w:rsidR="00000000" w:rsidRPr="00000000">
              <w:rPr>
                <w:rFonts w:ascii="Garamond" w:cs="Garamond" w:eastAsia="Garamond" w:hAnsi="Garamond"/>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B">
            <w:pPr>
              <w:ind w:left="144" w:firstLine="0"/>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Wash any dishes, containers, or other items that should be stored and put them away when dry.</w:t>
            </w:r>
            <w:r w:rsidDel="00000000" w:rsidR="00000000" w:rsidRPr="00000000">
              <w:rPr>
                <w:rtl w:val="0"/>
              </w:rPr>
            </w:r>
          </w:p>
        </w:tc>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E">
            <w:pPr>
              <w:ind w:left="144" w:firstLine="0"/>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Discard any unwanted, non-hazardous chemicals down the drain. If there is any question about whether a chemical is non-hazardous, </w:t>
            </w:r>
            <w:hyperlink r:id="rId23">
              <w:r w:rsidDel="00000000" w:rsidR="00000000" w:rsidRPr="00000000">
                <w:rPr>
                  <w:rFonts w:ascii="Garamond" w:cs="Garamond" w:eastAsia="Garamond" w:hAnsi="Garamond"/>
                  <w:color w:val="0563c1"/>
                  <w:sz w:val="24"/>
                  <w:szCs w:val="24"/>
                  <w:u w:val="single"/>
                  <w:rtl w:val="0"/>
                </w:rPr>
                <w:t xml:space="preserve">contact EHS</w:t>
              </w:r>
            </w:hyperlink>
            <w:r w:rsidDel="00000000" w:rsidR="00000000" w:rsidRPr="00000000">
              <w:rPr>
                <w:rFonts w:ascii="Garamond" w:cs="Garamond" w:eastAsia="Garamond" w:hAnsi="Garamond"/>
                <w:color w:val="000000"/>
                <w:sz w:val="24"/>
                <w:szCs w:val="24"/>
                <w:rtl w:val="0"/>
              </w:rPr>
              <w:t xml:space="preserve">.</w:t>
            </w:r>
            <w:r w:rsidDel="00000000" w:rsidR="00000000" w:rsidRPr="00000000">
              <w:rPr>
                <w:rtl w:val="0"/>
              </w:rPr>
            </w:r>
          </w:p>
        </w:tc>
        <w:tc>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Request waste pickup from </w:t>
            </w:r>
            <w:hyperlink r:id="rId24">
              <w:r w:rsidDel="00000000" w:rsidR="00000000" w:rsidRPr="00000000">
                <w:rPr>
                  <w:rFonts w:ascii="Garamond" w:cs="Garamond" w:eastAsia="Garamond" w:hAnsi="Garamond"/>
                  <w:color w:val="0563c1"/>
                  <w:sz w:val="24"/>
                  <w:szCs w:val="24"/>
                  <w:u w:val="single"/>
                  <w:rtl w:val="0"/>
                </w:rPr>
                <w:t xml:space="preserve">Office of Facilities Management</w:t>
              </w:r>
            </w:hyperlink>
            <w:r w:rsidDel="00000000" w:rsidR="00000000" w:rsidRPr="00000000">
              <w:rPr>
                <w:rFonts w:ascii="Garamond" w:cs="Garamond" w:eastAsia="Garamond" w:hAnsi="Garamond"/>
                <w:color w:val="000000"/>
                <w:sz w:val="24"/>
                <w:szCs w:val="24"/>
                <w:rtl w:val="0"/>
              </w:rPr>
              <w:t xml:space="preserve">, as needed.</w:t>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Other recommendations from the </w:t>
            </w:r>
            <w:hyperlink r:id="rId25">
              <w:r w:rsidDel="00000000" w:rsidR="00000000" w:rsidRPr="00000000">
                <w:rPr>
                  <w:rFonts w:ascii="Garamond" w:cs="Garamond" w:eastAsia="Garamond" w:hAnsi="Garamond"/>
                  <w:color w:val="0563c1"/>
                  <w:sz w:val="24"/>
                  <w:szCs w:val="24"/>
                  <w:u w:val="single"/>
                  <w:rtl w:val="0"/>
                </w:rPr>
                <w:t xml:space="preserve">Job Safety Assessment</w:t>
              </w:r>
            </w:hyperlink>
            <w:r w:rsidDel="00000000" w:rsidR="00000000" w:rsidRPr="00000000">
              <w:rPr>
                <w:rFonts w:ascii="Garamond" w:cs="Garamond" w:eastAsia="Garamond" w:hAnsi="Garamond"/>
                <w:color w:val="000000"/>
                <w:sz w:val="24"/>
                <w:szCs w:val="24"/>
                <w:rtl w:val="0"/>
              </w:rPr>
              <w:t xml:space="preserve"> (for research lab and spaces).</w:t>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60" w:line="259" w:lineRule="auto"/>
              <w:ind w:left="14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Other recommendations from individual research leads.</w:t>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60" w:line="259" w:lineRule="auto"/>
              <w:ind w:left="720" w:firstLine="0"/>
              <w:rPr>
                <w:rFonts w:ascii="Garamond" w:cs="Garamond" w:eastAsia="Garamond" w:hAnsi="Garamond"/>
                <w:color w:val="000000"/>
                <w:sz w:val="24"/>
                <w:szCs w:val="24"/>
              </w:rPr>
            </w:pPr>
            <w:r w:rsidDel="00000000" w:rsidR="00000000" w:rsidRPr="00000000">
              <w:rPr>
                <w:rtl w:val="0"/>
              </w:rPr>
            </w:r>
          </w:p>
        </w:tc>
      </w:tr>
    </w:tbl>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after="0" w:before="9" w:line="240" w:lineRule="auto"/>
        <w:ind w:left="27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Important abbreviations and contacts mentioned in this document: </w:t>
      </w:r>
    </w:p>
    <w:p w:rsidR="00000000" w:rsidDel="00000000" w:rsidP="00000000" w:rsidRDefault="00000000" w:rsidRPr="00000000" w14:paraId="000000AB">
      <w:pPr>
        <w:widowControl w:val="0"/>
        <w:numPr>
          <w:ilvl w:val="0"/>
          <w:numId w:val="1"/>
        </w:numPr>
        <w:pBdr>
          <w:top w:space="0" w:sz="0" w:val="nil"/>
          <w:left w:space="0" w:sz="0" w:val="nil"/>
          <w:bottom w:space="0" w:sz="0" w:val="nil"/>
          <w:right w:space="0" w:sz="0" w:val="nil"/>
          <w:between w:space="0" w:sz="0" w:val="nil"/>
        </w:pBdr>
        <w:spacing w:after="0" w:before="9" w:line="240" w:lineRule="auto"/>
        <w:ind w:left="990" w:hanging="360"/>
        <w:rPr>
          <w:rFonts w:ascii="Garamond" w:cs="Garamond" w:eastAsia="Garamond" w:hAnsi="Garamond"/>
          <w:color w:val="000000"/>
          <w:sz w:val="24"/>
          <w:szCs w:val="24"/>
        </w:rPr>
      </w:pPr>
      <w:hyperlink r:id="rId26">
        <w:r w:rsidDel="00000000" w:rsidR="00000000" w:rsidRPr="00000000">
          <w:rPr>
            <w:rFonts w:ascii="Garamond" w:cs="Garamond" w:eastAsia="Garamond" w:hAnsi="Garamond"/>
            <w:color w:val="0563c1"/>
            <w:sz w:val="24"/>
            <w:szCs w:val="24"/>
            <w:u w:val="single"/>
            <w:rtl w:val="0"/>
          </w:rPr>
          <w:t xml:space="preserve">ESH – Environmental Health and Safety</w:t>
        </w:r>
      </w:hyperlink>
      <w:r w:rsidDel="00000000" w:rsidR="00000000" w:rsidRPr="00000000">
        <w:rPr>
          <w:rtl w:val="0"/>
        </w:rPr>
      </w:r>
    </w:p>
    <w:p w:rsidR="00000000" w:rsidDel="00000000" w:rsidP="00000000" w:rsidRDefault="00000000" w:rsidRPr="00000000" w14:paraId="000000AC">
      <w:pPr>
        <w:widowControl w:val="0"/>
        <w:numPr>
          <w:ilvl w:val="0"/>
          <w:numId w:val="1"/>
        </w:numPr>
        <w:pBdr>
          <w:top w:space="0" w:sz="0" w:val="nil"/>
          <w:left w:space="0" w:sz="0" w:val="nil"/>
          <w:bottom w:space="0" w:sz="0" w:val="nil"/>
          <w:right w:space="0" w:sz="0" w:val="nil"/>
          <w:between w:space="0" w:sz="0" w:val="nil"/>
        </w:pBdr>
        <w:spacing w:after="0" w:before="9" w:line="240" w:lineRule="auto"/>
        <w:ind w:left="990" w:hanging="360"/>
        <w:rPr>
          <w:rFonts w:ascii="Garamond" w:cs="Garamond" w:eastAsia="Garamond" w:hAnsi="Garamond"/>
          <w:color w:val="000000"/>
          <w:sz w:val="24"/>
          <w:szCs w:val="24"/>
        </w:rPr>
      </w:pPr>
      <w:hyperlink r:id="rId27">
        <w:r w:rsidDel="00000000" w:rsidR="00000000" w:rsidRPr="00000000">
          <w:rPr>
            <w:rFonts w:ascii="Garamond" w:cs="Garamond" w:eastAsia="Garamond" w:hAnsi="Garamond"/>
            <w:color w:val="0563c1"/>
            <w:sz w:val="24"/>
            <w:szCs w:val="24"/>
            <w:u w:val="single"/>
            <w:rtl w:val="0"/>
          </w:rPr>
          <w:t xml:space="preserve">HR – Human Resources</w:t>
        </w:r>
      </w:hyperlink>
      <w:r w:rsidDel="00000000" w:rsidR="00000000" w:rsidRPr="00000000">
        <w:rPr>
          <w:rtl w:val="0"/>
        </w:rPr>
      </w:r>
    </w:p>
    <w:p w:rsidR="00000000" w:rsidDel="00000000" w:rsidP="00000000" w:rsidRDefault="00000000" w:rsidRPr="00000000" w14:paraId="000000AD">
      <w:pPr>
        <w:widowControl w:val="0"/>
        <w:numPr>
          <w:ilvl w:val="0"/>
          <w:numId w:val="1"/>
        </w:numPr>
        <w:pBdr>
          <w:top w:space="0" w:sz="0" w:val="nil"/>
          <w:left w:space="0" w:sz="0" w:val="nil"/>
          <w:bottom w:space="0" w:sz="0" w:val="nil"/>
          <w:right w:space="0" w:sz="0" w:val="nil"/>
          <w:between w:space="0" w:sz="0" w:val="nil"/>
        </w:pBdr>
        <w:spacing w:after="0" w:before="9" w:line="240" w:lineRule="auto"/>
        <w:ind w:left="990" w:hanging="360"/>
        <w:rPr>
          <w:rFonts w:ascii="Garamond" w:cs="Garamond" w:eastAsia="Garamond" w:hAnsi="Garamond"/>
          <w:color w:val="000000"/>
          <w:sz w:val="24"/>
          <w:szCs w:val="24"/>
        </w:rPr>
      </w:pPr>
      <w:hyperlink r:id="rId28">
        <w:r w:rsidDel="00000000" w:rsidR="00000000" w:rsidRPr="00000000">
          <w:rPr>
            <w:rFonts w:ascii="Garamond" w:cs="Garamond" w:eastAsia="Garamond" w:hAnsi="Garamond"/>
            <w:color w:val="0563c1"/>
            <w:sz w:val="24"/>
            <w:szCs w:val="24"/>
            <w:u w:val="single"/>
            <w:rtl w:val="0"/>
          </w:rPr>
          <w:t xml:space="preserve">JSA – Job Safety Assessment</w:t>
        </w:r>
      </w:hyperlink>
      <w:r w:rsidDel="00000000" w:rsidR="00000000" w:rsidRPr="00000000">
        <w:rPr>
          <w:rtl w:val="0"/>
        </w:rPr>
      </w:r>
    </w:p>
    <w:p w:rsidR="00000000" w:rsidDel="00000000" w:rsidP="00000000" w:rsidRDefault="00000000" w:rsidRPr="00000000" w14:paraId="000000AE">
      <w:pPr>
        <w:widowControl w:val="0"/>
        <w:numPr>
          <w:ilvl w:val="0"/>
          <w:numId w:val="1"/>
        </w:numPr>
        <w:pBdr>
          <w:top w:space="0" w:sz="0" w:val="nil"/>
          <w:left w:space="0" w:sz="0" w:val="nil"/>
          <w:bottom w:space="0" w:sz="0" w:val="nil"/>
          <w:right w:space="0" w:sz="0" w:val="nil"/>
          <w:between w:space="0" w:sz="0" w:val="nil"/>
        </w:pBdr>
        <w:spacing w:after="0" w:before="9" w:line="240" w:lineRule="auto"/>
        <w:ind w:left="990" w:hanging="360"/>
        <w:rPr>
          <w:rFonts w:ascii="Garamond" w:cs="Garamond" w:eastAsia="Garamond" w:hAnsi="Garamond"/>
          <w:color w:val="000000"/>
          <w:sz w:val="24"/>
          <w:szCs w:val="24"/>
        </w:rPr>
      </w:pPr>
      <w:hyperlink r:id="rId29">
        <w:r w:rsidDel="00000000" w:rsidR="00000000" w:rsidRPr="00000000">
          <w:rPr>
            <w:rFonts w:ascii="Garamond" w:cs="Garamond" w:eastAsia="Garamond" w:hAnsi="Garamond"/>
            <w:color w:val="0563c1"/>
            <w:sz w:val="24"/>
            <w:szCs w:val="24"/>
            <w:u w:val="single"/>
            <w:rtl w:val="0"/>
          </w:rPr>
          <w:t xml:space="preserve">IRB – Institutional Review Board</w:t>
        </w:r>
      </w:hyperlink>
      <w:r w:rsidDel="00000000" w:rsidR="00000000" w:rsidRPr="00000000">
        <w:rPr>
          <w:rtl w:val="0"/>
        </w:rPr>
      </w:r>
    </w:p>
    <w:p w:rsidR="00000000" w:rsidDel="00000000" w:rsidP="00000000" w:rsidRDefault="00000000" w:rsidRPr="00000000" w14:paraId="000000AF">
      <w:pPr>
        <w:widowControl w:val="0"/>
        <w:numPr>
          <w:ilvl w:val="0"/>
          <w:numId w:val="1"/>
        </w:numPr>
        <w:pBdr>
          <w:top w:space="0" w:sz="0" w:val="nil"/>
          <w:left w:space="0" w:sz="0" w:val="nil"/>
          <w:bottom w:space="0" w:sz="0" w:val="nil"/>
          <w:right w:space="0" w:sz="0" w:val="nil"/>
          <w:between w:space="0" w:sz="0" w:val="nil"/>
        </w:pBdr>
        <w:spacing w:after="0" w:before="9" w:line="240" w:lineRule="auto"/>
        <w:ind w:left="990" w:hanging="360"/>
        <w:rPr>
          <w:rFonts w:ascii="Garamond" w:cs="Garamond" w:eastAsia="Garamond" w:hAnsi="Garamond"/>
          <w:color w:val="000000"/>
          <w:sz w:val="24"/>
          <w:szCs w:val="24"/>
        </w:rPr>
      </w:pPr>
      <w:hyperlink r:id="rId30">
        <w:r w:rsidDel="00000000" w:rsidR="00000000" w:rsidRPr="00000000">
          <w:rPr>
            <w:rFonts w:ascii="Garamond" w:cs="Garamond" w:eastAsia="Garamond" w:hAnsi="Garamond"/>
            <w:color w:val="0563c1"/>
            <w:sz w:val="24"/>
            <w:szCs w:val="24"/>
            <w:u w:val="single"/>
            <w:rtl w:val="0"/>
          </w:rPr>
          <w:t xml:space="preserve">Office of Public Safety</w:t>
        </w:r>
      </w:hyperlink>
      <w:r w:rsidDel="00000000" w:rsidR="00000000" w:rsidRPr="00000000">
        <w:rPr>
          <w:rtl w:val="0"/>
        </w:rPr>
      </w:r>
    </w:p>
    <w:p w:rsidR="00000000" w:rsidDel="00000000" w:rsidP="00000000" w:rsidRDefault="00000000" w:rsidRPr="00000000" w14:paraId="000000B0">
      <w:pPr>
        <w:widowControl w:val="0"/>
        <w:numPr>
          <w:ilvl w:val="0"/>
          <w:numId w:val="1"/>
        </w:numPr>
        <w:pBdr>
          <w:top w:space="0" w:sz="0" w:val="nil"/>
          <w:left w:space="0" w:sz="0" w:val="nil"/>
          <w:bottom w:space="0" w:sz="0" w:val="nil"/>
          <w:right w:space="0" w:sz="0" w:val="nil"/>
          <w:between w:space="0" w:sz="0" w:val="nil"/>
        </w:pBdr>
        <w:spacing w:after="0" w:before="9" w:line="240" w:lineRule="auto"/>
        <w:ind w:left="990" w:hanging="360"/>
        <w:rPr>
          <w:rFonts w:ascii="Garamond" w:cs="Garamond" w:eastAsia="Garamond" w:hAnsi="Garamond"/>
          <w:color w:val="000000"/>
          <w:sz w:val="24"/>
          <w:szCs w:val="24"/>
        </w:rPr>
      </w:pPr>
      <w:hyperlink r:id="rId31">
        <w:r w:rsidDel="00000000" w:rsidR="00000000" w:rsidRPr="00000000">
          <w:rPr>
            <w:rFonts w:ascii="Garamond" w:cs="Garamond" w:eastAsia="Garamond" w:hAnsi="Garamond"/>
            <w:color w:val="0563c1"/>
            <w:sz w:val="24"/>
            <w:szCs w:val="24"/>
            <w:u w:val="single"/>
            <w:rtl w:val="0"/>
          </w:rPr>
          <w:t xml:space="preserve">TCIT – Teachers College Information Technology</w:t>
        </w:r>
      </w:hyperlink>
      <w:r w:rsidDel="00000000" w:rsidR="00000000" w:rsidRPr="00000000">
        <w:rPr>
          <w:rtl w:val="0"/>
        </w:rPr>
      </w:r>
    </w:p>
    <w:p w:rsidR="00000000" w:rsidDel="00000000" w:rsidP="00000000" w:rsidRDefault="00000000" w:rsidRPr="00000000" w14:paraId="000000B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B2">
      <w:pPr>
        <w:ind w:left="576"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Please contact </w:t>
      </w:r>
      <w:hyperlink r:id="rId32">
        <w:r w:rsidDel="00000000" w:rsidR="00000000" w:rsidRPr="00000000">
          <w:rPr>
            <w:rFonts w:ascii="Garamond" w:cs="Garamond" w:eastAsia="Garamond" w:hAnsi="Garamond"/>
            <w:b w:val="1"/>
            <w:color w:val="0563c1"/>
            <w:sz w:val="24"/>
            <w:szCs w:val="24"/>
            <w:u w:val="single"/>
            <w:rtl w:val="0"/>
          </w:rPr>
          <w:t xml:space="preserve">IRB@tc.edu</w:t>
        </w:r>
      </w:hyperlink>
      <w:r w:rsidDel="00000000" w:rsidR="00000000" w:rsidRPr="00000000">
        <w:rPr>
          <w:rFonts w:ascii="Garamond" w:cs="Garamond" w:eastAsia="Garamond" w:hAnsi="Garamond"/>
          <w:b w:val="1"/>
          <w:sz w:val="24"/>
          <w:szCs w:val="24"/>
          <w:rtl w:val="0"/>
        </w:rPr>
        <w:t xml:space="preserve"> with questions about a safe research ramp-down.</w:t>
      </w:r>
    </w:p>
    <w:sectPr>
      <w:headerReference r:id="rId33" w:type="first"/>
      <w:footerReference r:id="rId34" w:type="default"/>
      <w:footerReference r:id="rId35" w:type="first"/>
      <w:footerReference r:id="rId36" w:type="even"/>
      <w:pgSz w:h="15840" w:w="12240" w:orient="portrait"/>
      <w:pgMar w:bottom="720" w:top="1134" w:left="720" w:right="720" w:header="576"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Gill San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tabs>
        <w:tab w:val="center" w:pos="4680"/>
        <w:tab w:val="right" w:pos="9360"/>
      </w:tabs>
      <w:spacing w:after="0" w:line="240" w:lineRule="auto"/>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Teachers College, Research Ramp-Down Checklist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pos="4680"/>
        <w:tab w:val="right" w:pos="9360"/>
      </w:tabs>
      <w:spacing w:after="0" w:line="240" w:lineRule="auto"/>
      <w:ind w:right="360"/>
      <w:jc w:val="center"/>
      <w:rPr>
        <w:rFonts w:ascii="Garamond" w:cs="Garamond" w:eastAsia="Garamond" w:hAnsi="Garamond"/>
        <w:b w:val="1"/>
        <w:color w:val="000000"/>
      </w:rPr>
    </w:pPr>
    <w:r w:rsidDel="00000000" w:rsidR="00000000" w:rsidRPr="00000000">
      <w:rPr>
        <w:rFonts w:ascii="Garamond" w:cs="Garamond" w:eastAsia="Garamond" w:hAnsi="Garamond"/>
        <w:color w:val="000000"/>
        <w:rtl w:val="0"/>
      </w:rPr>
      <w:t xml:space="preserve"> </w:t>
    </w:r>
    <w:r w:rsidDel="00000000" w:rsidR="00000000" w:rsidRPr="00000000">
      <w:rPr>
        <w:rFonts w:ascii="Garamond" w:cs="Garamond" w:eastAsia="Garamond" w:hAnsi="Garamond"/>
        <w:b w:val="1"/>
        <w:color w:val="000000"/>
        <w:rtl w:val="0"/>
      </w:rPr>
      <w:t xml:space="preserve">Teachers College, Research Ramp-Down Checklist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3">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color w:val="000000"/>
      </w:rPr>
    </w:pPr>
    <w:r w:rsidDel="00000000" w:rsidR="00000000" w:rsidRPr="00000000">
      <w:rPr>
        <w:rFonts w:ascii="Gill Sans" w:cs="Gill Sans" w:eastAsia="Gill Sans" w:hAnsi="Gill Sans"/>
        <w:b w:val="1"/>
        <w:color w:val="000000"/>
      </w:rPr>
      <w:drawing>
        <wp:inline distB="0" distT="0" distL="0" distR="0">
          <wp:extent cx="2756086" cy="640731"/>
          <wp:effectExtent b="0" l="0" r="0" t="0"/>
          <wp:docPr id="1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756086" cy="64073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990" w:hanging="360"/>
      </w:pPr>
      <w:rPr>
        <w:rFonts w:ascii="Noto Sans Symbols" w:cs="Noto Sans Symbols" w:eastAsia="Noto Sans Symbols" w:hAnsi="Noto Sans Symbols"/>
      </w:rPr>
    </w:lvl>
    <w:lvl w:ilvl="1">
      <w:start w:val="1"/>
      <w:numFmt w:val="bullet"/>
      <w:lvlText w:val="o"/>
      <w:lvlJc w:val="left"/>
      <w:pPr>
        <w:ind w:left="1710" w:hanging="360"/>
      </w:pPr>
      <w:rPr>
        <w:rFonts w:ascii="Courier New" w:cs="Courier New" w:eastAsia="Courier New" w:hAnsi="Courier New"/>
      </w:rPr>
    </w:lvl>
    <w:lvl w:ilvl="2">
      <w:start w:val="1"/>
      <w:numFmt w:val="bullet"/>
      <w:lvlText w:val="▪"/>
      <w:lvlJc w:val="left"/>
      <w:pPr>
        <w:ind w:left="2430" w:hanging="360"/>
      </w:pPr>
      <w:rPr>
        <w:rFonts w:ascii="Noto Sans Symbols" w:cs="Noto Sans Symbols" w:eastAsia="Noto Sans Symbols" w:hAnsi="Noto Sans Symbols"/>
      </w:rPr>
    </w:lvl>
    <w:lvl w:ilvl="3">
      <w:start w:val="1"/>
      <w:numFmt w:val="bullet"/>
      <w:lvlText w:val="●"/>
      <w:lvlJc w:val="left"/>
      <w:pPr>
        <w:ind w:left="3150" w:hanging="360"/>
      </w:pPr>
      <w:rPr>
        <w:rFonts w:ascii="Noto Sans Symbols" w:cs="Noto Sans Symbols" w:eastAsia="Noto Sans Symbols" w:hAnsi="Noto Sans Symbols"/>
      </w:rPr>
    </w:lvl>
    <w:lvl w:ilvl="4">
      <w:start w:val="1"/>
      <w:numFmt w:val="bullet"/>
      <w:lvlText w:val="o"/>
      <w:lvlJc w:val="left"/>
      <w:pPr>
        <w:ind w:left="3870" w:hanging="360"/>
      </w:pPr>
      <w:rPr>
        <w:rFonts w:ascii="Courier New" w:cs="Courier New" w:eastAsia="Courier New" w:hAnsi="Courier New"/>
      </w:rPr>
    </w:lvl>
    <w:lvl w:ilvl="5">
      <w:start w:val="1"/>
      <w:numFmt w:val="bullet"/>
      <w:lvlText w:val="▪"/>
      <w:lvlJc w:val="left"/>
      <w:pPr>
        <w:ind w:left="4590" w:hanging="360"/>
      </w:pPr>
      <w:rPr>
        <w:rFonts w:ascii="Noto Sans Symbols" w:cs="Noto Sans Symbols" w:eastAsia="Noto Sans Symbols" w:hAnsi="Noto Sans Symbols"/>
      </w:rPr>
    </w:lvl>
    <w:lvl w:ilvl="6">
      <w:start w:val="1"/>
      <w:numFmt w:val="bullet"/>
      <w:lvlText w:val="●"/>
      <w:lvlJc w:val="left"/>
      <w:pPr>
        <w:ind w:left="5310" w:hanging="360"/>
      </w:pPr>
      <w:rPr>
        <w:rFonts w:ascii="Noto Sans Symbols" w:cs="Noto Sans Symbols" w:eastAsia="Noto Sans Symbols" w:hAnsi="Noto Sans Symbols"/>
      </w:rPr>
    </w:lvl>
    <w:lvl w:ilvl="7">
      <w:start w:val="1"/>
      <w:numFmt w:val="bullet"/>
      <w:lvlText w:val="o"/>
      <w:lvlJc w:val="left"/>
      <w:pPr>
        <w:ind w:left="6030" w:hanging="360"/>
      </w:pPr>
      <w:rPr>
        <w:rFonts w:ascii="Courier New" w:cs="Courier New" w:eastAsia="Courier New" w:hAnsi="Courier New"/>
      </w:rPr>
    </w:lvl>
    <w:lvl w:ilvl="8">
      <w:start w:val="1"/>
      <w:numFmt w:val="bullet"/>
      <w:lvlText w:val="▪"/>
      <w:lvlJc w:val="left"/>
      <w:pPr>
        <w:ind w:left="675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Pr>
      <w:color w:val="0563c1" w:themeColor="hyperlink"/>
      <w:u w:val="single"/>
    </w:rPr>
  </w:style>
  <w:style w:type="paragraph" w:styleId="ListParagraph">
    <w:name w:val="List Paragraph"/>
    <w:basedOn w:val="Normal"/>
    <w:uiPriority w:val="1"/>
    <w:qFormat w:val="1"/>
    <w:pPr>
      <w:ind w:left="720"/>
      <w:contextualSpacing w:val="1"/>
    </w:pPr>
  </w:style>
  <w:style w:type="character" w:styleId="UnresolvedMention1" w:customStyle="1">
    <w:name w:val="Unresolved Mention1"/>
    <w:basedOn w:val="DefaultParagraphFont"/>
    <w:uiPriority w:val="99"/>
    <w:semiHidden w:val="1"/>
    <w:unhideWhenUsed w:val="1"/>
    <w:rsid w:val="00035ABB"/>
    <w:rPr>
      <w:color w:val="605e5c"/>
      <w:shd w:color="auto" w:fill="e1dfdd" w:val="clear"/>
    </w:rPr>
  </w:style>
  <w:style w:type="table" w:styleId="TableGrid">
    <w:name w:val="Table Grid"/>
    <w:basedOn w:val="TableNormal"/>
    <w:uiPriority w:val="59"/>
    <w:rsid w:val="00FB4123"/>
    <w:pPr>
      <w:spacing w:after="0"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paragraph" w:styleId="Header">
    <w:name w:val="header"/>
    <w:basedOn w:val="Normal"/>
    <w:link w:val="HeaderChar"/>
    <w:uiPriority w:val="99"/>
    <w:unhideWhenUsed w:val="1"/>
    <w:rsid w:val="009B7F8D"/>
    <w:pPr>
      <w:tabs>
        <w:tab w:val="center" w:pos="4680"/>
        <w:tab w:val="right" w:pos="9360"/>
      </w:tabs>
      <w:spacing w:after="0" w:line="240" w:lineRule="auto"/>
    </w:pPr>
  </w:style>
  <w:style w:type="character" w:styleId="HeaderChar" w:customStyle="1">
    <w:name w:val="Header Char"/>
    <w:basedOn w:val="DefaultParagraphFont"/>
    <w:link w:val="Header"/>
    <w:uiPriority w:val="99"/>
    <w:rsid w:val="009B7F8D"/>
  </w:style>
  <w:style w:type="paragraph" w:styleId="Footer">
    <w:name w:val="footer"/>
    <w:basedOn w:val="Normal"/>
    <w:link w:val="FooterChar"/>
    <w:uiPriority w:val="99"/>
    <w:unhideWhenUsed w:val="1"/>
    <w:rsid w:val="009B7F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9B7F8D"/>
  </w:style>
  <w:style w:type="character" w:styleId="FollowedHyperlink">
    <w:name w:val="FollowedHyperlink"/>
    <w:basedOn w:val="DefaultParagraphFont"/>
    <w:uiPriority w:val="99"/>
    <w:semiHidden w:val="1"/>
    <w:unhideWhenUsed w:val="1"/>
    <w:rsid w:val="0044122D"/>
    <w:rPr>
      <w:color w:val="954f72" w:themeColor="followedHyperlink"/>
      <w:u w:val="single"/>
    </w:rPr>
  </w:style>
  <w:style w:type="character" w:styleId="UnresolvedMention">
    <w:name w:val="Unresolved Mention"/>
    <w:basedOn w:val="DefaultParagraphFont"/>
    <w:uiPriority w:val="99"/>
    <w:semiHidden w:val="1"/>
    <w:unhideWhenUsed w:val="1"/>
    <w:rsid w:val="00FC1BFA"/>
    <w:rPr>
      <w:color w:val="605e5c"/>
      <w:shd w:color="auto" w:fill="e1dfdd" w:val="clear"/>
    </w:rPr>
  </w:style>
  <w:style w:type="paragraph" w:styleId="TableParagraph" w:customStyle="1">
    <w:name w:val="Table Paragraph"/>
    <w:basedOn w:val="Normal"/>
    <w:uiPriority w:val="1"/>
    <w:qFormat w:val="1"/>
    <w:rsid w:val="00FE52A3"/>
    <w:pPr>
      <w:widowControl w:val="0"/>
      <w:autoSpaceDE w:val="0"/>
      <w:autoSpaceDN w:val="0"/>
      <w:spacing w:after="0" w:line="240" w:lineRule="auto"/>
    </w:pPr>
    <w:rPr>
      <w:rFonts w:ascii="Arial" w:cs="Arial" w:eastAsia="Arial" w:hAnsi="Arial"/>
    </w:rPr>
  </w:style>
  <w:style w:type="paragraph" w:styleId="BodyText">
    <w:name w:val="Body Text"/>
    <w:basedOn w:val="Normal"/>
    <w:link w:val="BodyTextChar"/>
    <w:uiPriority w:val="1"/>
    <w:qFormat w:val="1"/>
    <w:rsid w:val="00EF166E"/>
    <w:pPr>
      <w:widowControl w:val="0"/>
      <w:autoSpaceDE w:val="0"/>
      <w:autoSpaceDN w:val="0"/>
      <w:spacing w:after="0" w:line="240" w:lineRule="auto"/>
    </w:pPr>
    <w:rPr>
      <w:rFonts w:ascii="Arial" w:cs="Arial" w:eastAsia="Arial" w:hAnsi="Arial"/>
      <w:sz w:val="28"/>
      <w:szCs w:val="28"/>
    </w:rPr>
  </w:style>
  <w:style w:type="character" w:styleId="BodyTextChar" w:customStyle="1">
    <w:name w:val="Body Text Char"/>
    <w:basedOn w:val="DefaultParagraphFont"/>
    <w:link w:val="BodyText"/>
    <w:uiPriority w:val="1"/>
    <w:rsid w:val="00EF166E"/>
    <w:rPr>
      <w:rFonts w:ascii="Arial" w:cs="Arial" w:eastAsia="Arial" w:hAnsi="Arial"/>
      <w:sz w:val="28"/>
      <w:szCs w:val="28"/>
    </w:rPr>
  </w:style>
  <w:style w:type="character" w:styleId="PageNumber">
    <w:name w:val="page number"/>
    <w:basedOn w:val="DefaultParagraphFont"/>
    <w:uiPriority w:val="99"/>
    <w:semiHidden w:val="1"/>
    <w:unhideWhenUsed w:val="1"/>
    <w:rsid w:val="00FC00D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tc.columbia.edu/environmentalhealth/" TargetMode="External"/><Relationship Id="rId22" Type="http://schemas.openxmlformats.org/officeDocument/2006/relationships/hyperlink" Target="https://www.tc.columbia.edu/preparedness/campus-life-during-covid-19/research-compliance-and-safety/policies--procedures/job-safety-assessment--risk-analysis/" TargetMode="External"/><Relationship Id="rId21" Type="http://schemas.openxmlformats.org/officeDocument/2006/relationships/hyperlink" Target="https://www.tc.columbia.edu/environmentalhealth/" TargetMode="External"/><Relationship Id="rId24" Type="http://schemas.openxmlformats.org/officeDocument/2006/relationships/hyperlink" Target="https://www.tc.columbia.edu/facilities/" TargetMode="External"/><Relationship Id="rId23" Type="http://schemas.openxmlformats.org/officeDocument/2006/relationships/hyperlink" Target="https://www.tc.columbia.edu/environmentalhealt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c.columbia.edu/preparedness/campus-life-during-covid-19/research-compliance-and-safety/" TargetMode="External"/><Relationship Id="rId26" Type="http://schemas.openxmlformats.org/officeDocument/2006/relationships/hyperlink" Target="https://www.tc.columbia.edu/environmentalhealth/" TargetMode="External"/><Relationship Id="rId25" Type="http://schemas.openxmlformats.org/officeDocument/2006/relationships/hyperlink" Target="https://www.tc.columbia.edu/preparedness/campus-life-during-covid-19/research-compliance-and-safety/policies--procedures/job-safety-assessment--risk-analysis/" TargetMode="External"/><Relationship Id="rId28" Type="http://schemas.openxmlformats.org/officeDocument/2006/relationships/hyperlink" Target="https://www.tc.columbia.edu/preparedness/campus-life-during-covid-19/research-compliance-and-safety/policies--procedures/job-safety-assessment--risk-analysis/" TargetMode="External"/><Relationship Id="rId27" Type="http://schemas.openxmlformats.org/officeDocument/2006/relationships/hyperlink" Target="https://www.tc.columbia.edu/human-resourc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tc.columbia.edu/institutional-review-board/" TargetMode="External"/><Relationship Id="rId7" Type="http://schemas.openxmlformats.org/officeDocument/2006/relationships/image" Target="media/image1.png"/><Relationship Id="rId8" Type="http://schemas.openxmlformats.org/officeDocument/2006/relationships/image" Target="media/image3.png"/><Relationship Id="rId31" Type="http://schemas.openxmlformats.org/officeDocument/2006/relationships/hyperlink" Target="https://www.tc.columbia.edu/tcit/" TargetMode="External"/><Relationship Id="rId30" Type="http://schemas.openxmlformats.org/officeDocument/2006/relationships/hyperlink" Target="https://www.tc.columbia.edu/publicsafety/" TargetMode="External"/><Relationship Id="rId11" Type="http://schemas.openxmlformats.org/officeDocument/2006/relationships/hyperlink" Target="https://www.tc.columbia.edu/tcit/" TargetMode="External"/><Relationship Id="rId33" Type="http://schemas.openxmlformats.org/officeDocument/2006/relationships/header" Target="header1.xml"/><Relationship Id="rId10" Type="http://schemas.openxmlformats.org/officeDocument/2006/relationships/image" Target="media/image2.png"/><Relationship Id="rId32" Type="http://schemas.openxmlformats.org/officeDocument/2006/relationships/hyperlink" Target="mailto:IRB@tc.edu" TargetMode="External"/><Relationship Id="rId13" Type="http://schemas.openxmlformats.org/officeDocument/2006/relationships/hyperlink" Target="https://www.tc.columbia.edu/media/administration/preparedness/Research-Lab-or-Center-Safety-Monitor-Agreement-Final.pdf" TargetMode="External"/><Relationship Id="rId35" Type="http://schemas.openxmlformats.org/officeDocument/2006/relationships/footer" Target="footer2.xml"/><Relationship Id="rId12" Type="http://schemas.openxmlformats.org/officeDocument/2006/relationships/hyperlink" Target="https://www.tc.columbia.edu/preparedness/campus-life-during-covid-19/research-compliance-and-safety/policies--procedures/job-safety-assessment--risk-analysis/" TargetMode="External"/><Relationship Id="rId34" Type="http://schemas.openxmlformats.org/officeDocument/2006/relationships/footer" Target="footer3.xml"/><Relationship Id="rId15" Type="http://schemas.openxmlformats.org/officeDocument/2006/relationships/hyperlink" Target="https://www.tc.columbia.edu/human-resources/" TargetMode="External"/><Relationship Id="rId14" Type="http://schemas.openxmlformats.org/officeDocument/2006/relationships/hyperlink" Target="https://www.tc.columbia.edu/environmentalhealth/" TargetMode="External"/><Relationship Id="rId36" Type="http://schemas.openxmlformats.org/officeDocument/2006/relationships/footer" Target="footer1.xml"/><Relationship Id="rId17" Type="http://schemas.openxmlformats.org/officeDocument/2006/relationships/hyperlink" Target="https://www.tc.columbia.edu/institutional-review-board/how-to-submit/guides--resources/data-sharing-requests--encryption/" TargetMode="External"/><Relationship Id="rId16" Type="http://schemas.openxmlformats.org/officeDocument/2006/relationships/hyperlink" Target="https://www.tc.columbia.edu/publicsafety/" TargetMode="External"/><Relationship Id="rId19" Type="http://schemas.openxmlformats.org/officeDocument/2006/relationships/hyperlink" Target="https://www.tc.columbia.edu/institutional-review-board/how-to-submit/guides--resources/submitting-a-protocol-for-existing-data/" TargetMode="External"/><Relationship Id="rId18" Type="http://schemas.openxmlformats.org/officeDocument/2006/relationships/hyperlink" Target="https://www.tc.columbia.edu/institutional-review-board/how-to-submit/terminating-a-protoco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GillSans-regular.ttf"/><Relationship Id="rId6" Type="http://schemas.openxmlformats.org/officeDocument/2006/relationships/font" Target="fonts/GillSans-bold.ttf"/><Relationship Id="rId7"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CLtccXTAUAYxADiHeg1U/C+X/g==">AMUW2mVTqgxc0/D4icsqERDPfy7gTAIhpDXALBBT3nAfoKTNe6CqR0u86aM/O+ALNJuguHvdfW6YBuOnWNd+fkukuc1pYv6VyKLy9ZOj4UBgZ9JT74k0QN8=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2021-10-11T20:41:00Z</dcterms:created>
  <dc:creator>Cardwell, Marissa M</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0x01010077AB1849A9B222458A09D1FD16CE8688</vt:lpwstr>
  </property>
</Properties>
</file>